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7C7D" w14:textId="3A6287EF" w:rsidR="00FB7D6E" w:rsidRPr="002B3754" w:rsidRDefault="002B3754" w:rsidP="00FB7D6E">
      <w:pPr>
        <w:shd w:val="clear" w:color="auto" w:fill="FFFFFF"/>
        <w:spacing w:before="225" w:after="225" w:line="450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val="es-US"/>
        </w:rPr>
      </w:pPr>
      <w:r w:rsidRPr="002B3754">
        <w:rPr>
          <w:rFonts w:ascii="Arial" w:eastAsia="Arial" w:hAnsi="Arial" w:cs="Arial"/>
          <w:b/>
          <w:bCs/>
          <w:color w:val="111111"/>
          <w:kern w:val="36"/>
          <w:sz w:val="36"/>
          <w:szCs w:val="36"/>
          <w:bdr w:val="nil"/>
          <w:lang w:val="es-US"/>
        </w:rPr>
        <w:t xml:space="preserve">Cómo presentar una queja ADA y </w:t>
      </w:r>
      <w:r w:rsidR="000A5DCB">
        <w:rPr>
          <w:rFonts w:ascii="Arial" w:eastAsia="Arial" w:hAnsi="Arial" w:cs="Arial"/>
          <w:b/>
          <w:bCs/>
          <w:color w:val="111111"/>
          <w:kern w:val="36"/>
          <w:sz w:val="36"/>
          <w:szCs w:val="36"/>
          <w:bdr w:val="nil"/>
          <w:lang w:val="es-US"/>
        </w:rPr>
        <w:t xml:space="preserve">los </w:t>
      </w:r>
      <w:r w:rsidRPr="002B3754">
        <w:rPr>
          <w:rFonts w:ascii="Arial" w:eastAsia="Arial" w:hAnsi="Arial" w:cs="Arial"/>
          <w:b/>
          <w:bCs/>
          <w:color w:val="111111"/>
          <w:kern w:val="36"/>
          <w:sz w:val="36"/>
          <w:szCs w:val="36"/>
          <w:bdr w:val="nil"/>
          <w:lang w:val="es-US"/>
        </w:rPr>
        <w:t>procedimientos de queja</w:t>
      </w:r>
    </w:p>
    <w:p w14:paraId="5284B6C1" w14:textId="35E281F7" w:rsidR="00FB7D6E" w:rsidRPr="002B3754" w:rsidRDefault="002B3754" w:rsidP="00FB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South East Texas Transit </w:t>
      </w:r>
      <w:r w:rsidR="004552E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(SETT, por sus siglas en inglés)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procesará e investigará las quejas de personas que aleguen discriminación en los programas, servicios o actividades de SETT, de conformidad con la Ley de Estadounidenses con Discapacidades de 1990 (ADA</w:t>
      </w:r>
      <w:r w:rsidR="000C41AA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, por sus siglas en inglés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). Las quejas por discapacidad que alegan discriminación en programas, servicios o actividades pueden presentarse de conformidad con los siguientes procedimientos.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</w:p>
    <w:p w14:paraId="4863E0CE" w14:textId="77777777" w:rsidR="00FB7D6E" w:rsidRPr="002B3754" w:rsidRDefault="002B3754" w:rsidP="00FB7D6E">
      <w:pPr>
        <w:shd w:val="clear" w:color="auto" w:fill="FFFFFF"/>
        <w:spacing w:before="300" w:after="75" w:line="345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es-US"/>
        </w:rPr>
      </w:pPr>
      <w:r w:rsidRPr="002B3754">
        <w:rPr>
          <w:rFonts w:ascii="Arial" w:eastAsia="Arial" w:hAnsi="Arial" w:cs="Arial"/>
          <w:b/>
          <w:bCs/>
          <w:caps/>
          <w:color w:val="333333"/>
          <w:sz w:val="26"/>
          <w:szCs w:val="26"/>
          <w:bdr w:val="nil"/>
          <w:lang w:val="es-US"/>
        </w:rPr>
        <w:t>CÓMO PRESENTAR UNA QUEJA</w:t>
      </w:r>
    </w:p>
    <w:p w14:paraId="3AB41EBF" w14:textId="14D71230" w:rsidR="00FB7D6E" w:rsidRPr="002B3754" w:rsidRDefault="002B3754" w:rsidP="00FB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Cualquier persona que crea que </w:t>
      </w:r>
      <w:r w:rsidR="000C41AA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ha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sido discriminado por discapacidad por SETT puede presentar una queja ADA, directamente o por medio de un representante autorizado, completando y presentando el Formulario de queja ADA de SETT. SETT investigará las quejas recibidas </w:t>
      </w:r>
      <w:r w:rsidR="004552E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antes del plazo de 1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80 días después del presunto incidente.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</w:p>
    <w:p w14:paraId="2CB53F68" w14:textId="3E75A97A" w:rsidR="00FB7D6E" w:rsidRPr="002B3754" w:rsidRDefault="002B3754" w:rsidP="00FB7D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7804E9">
        <w:rPr>
          <w:rFonts w:ascii="Arial" w:eastAsia="Arial" w:hAnsi="Arial" w:cs="Arial"/>
          <w:color w:val="333333"/>
          <w:sz w:val="21"/>
          <w:szCs w:val="21"/>
          <w:u w:val="single"/>
          <w:bdr w:val="nil"/>
          <w:shd w:val="clear" w:color="auto" w:fill="FFFFFF"/>
          <w:lang w:val="es-US"/>
        </w:rPr>
        <w:t>La queja debe presentarse ante: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South East Texas Regional Planning Commission</w:t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Attention: D’Juana Fowler</w:t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2210 Eastex Freeway</w:t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4552E2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Beaumont, Texas 77703-4929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Dirección de correo electrónico:</w:t>
      </w:r>
      <w:r w:rsidR="004552E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 </w:t>
      </w:r>
      <w:hyperlink r:id="rId5" w:history="1">
        <w:r w:rsidR="004552E2" w:rsidRPr="002B3754">
          <w:rPr>
            <w:rStyle w:val="Hyperlink"/>
            <w:rFonts w:ascii="Arial" w:eastAsia="Arial" w:hAnsi="Arial" w:cs="Arial"/>
            <w:sz w:val="21"/>
            <w:szCs w:val="21"/>
            <w:bdr w:val="nil"/>
            <w:shd w:val="clear" w:color="auto" w:fill="FFFFFF"/>
            <w:lang w:val="es-US"/>
          </w:rPr>
          <w:t>dfowler@setrpc.org</w:t>
        </w:r>
      </w:hyperlink>
    </w:p>
    <w:p w14:paraId="404E33D3" w14:textId="5EFF33E4" w:rsidR="00FB7D6E" w:rsidRPr="002B3754" w:rsidRDefault="002B3754" w:rsidP="00FB7D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>Teléfono: 409-899-8444 ext</w:t>
      </w:r>
      <w:r w:rsidR="004552E2"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ensión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>6601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</w:p>
    <w:p w14:paraId="13270497" w14:textId="77777777" w:rsidR="00FB7D6E" w:rsidRPr="002B3754" w:rsidRDefault="002B3754" w:rsidP="00FB7D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2B3754">
        <w:rPr>
          <w:rFonts w:ascii="Arial" w:eastAsia="Arial" w:hAnsi="Arial" w:cs="Arial"/>
          <w:b/>
          <w:bCs/>
          <w:caps/>
          <w:color w:val="333333"/>
          <w:sz w:val="26"/>
          <w:szCs w:val="26"/>
          <w:bdr w:val="nil"/>
          <w:lang w:val="es-US"/>
        </w:rPr>
        <w:t>ACEPTACIÓN DE QUEJAS</w:t>
      </w:r>
    </w:p>
    <w:p w14:paraId="5AE7CDA6" w14:textId="5DA6B13E" w:rsidR="00FB7D6E" w:rsidRPr="002B3754" w:rsidRDefault="002B3754" w:rsidP="000F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Una vez que se recibe la queja, SETT la revisará para determinar si tiene jurisdicción. El </w:t>
      </w:r>
      <w:r w:rsidR="004552E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reclamante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 recibirá una carta de acuse de recibo dentro de los diez (10) días posteriores </w:t>
      </w:r>
      <w:r w:rsidR="004552E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de haber recibido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la queja informándole si nuestra oficina investigará la queja.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</w:p>
    <w:p w14:paraId="09C94D5F" w14:textId="77777777" w:rsidR="00FB7D6E" w:rsidRPr="002B3754" w:rsidRDefault="002B3754" w:rsidP="000F5A9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es-US"/>
        </w:rPr>
      </w:pPr>
      <w:r w:rsidRPr="002B3754">
        <w:rPr>
          <w:rFonts w:ascii="Arial" w:eastAsia="Arial" w:hAnsi="Arial" w:cs="Arial"/>
          <w:b/>
          <w:bCs/>
          <w:caps/>
          <w:color w:val="333333"/>
          <w:sz w:val="26"/>
          <w:szCs w:val="26"/>
          <w:bdr w:val="nil"/>
          <w:lang w:val="es-US"/>
        </w:rPr>
        <w:t>Investigaciones</w:t>
      </w:r>
    </w:p>
    <w:p w14:paraId="0AA9F6DA" w14:textId="6EE0ACB8" w:rsidR="00FB7D6E" w:rsidRPr="002B3754" w:rsidRDefault="002B3754" w:rsidP="00FB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SETT investigará de inmediato todas las quejas de supuesta discriminación por discapacidad en sus servicios y programas. SETT procesará e investigará las quejas alegadas dentro de los 60 días de haber recibido una queja completa. SETT puede comunicarse con el </w:t>
      </w:r>
      <w:r w:rsidR="00360BF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R</w:t>
      </w:r>
      <w:r w:rsidR="000F5A96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eclamante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si se necesita más información para resolver la queja. El </w:t>
      </w:r>
      <w:r w:rsidR="00360BF2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R</w:t>
      </w:r>
      <w:r w:rsidR="000F5A96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eclamante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 tendrá diez (10) días hábiles a partir de la fecha de contacto para enviar la información solicitada a SETT. SETT puede </w:t>
      </w:r>
      <w:r w:rsidR="000F5A96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decidir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cerrar la queja si la información solicitada no se recibe dentro de los diez (10) días hábiles. Una queja también se puede cerrar administrativamente si el </w:t>
      </w:r>
      <w:r w:rsidR="000F5A96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Reclamante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ya no desea continuar con la queja, o si el </w:t>
      </w:r>
      <w:r w:rsidR="000F5A96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reclamante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no coopera en la investigación de la queja.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</w:p>
    <w:p w14:paraId="356FCBA8" w14:textId="77777777" w:rsidR="00FB7D6E" w:rsidRPr="002B3754" w:rsidRDefault="002B3754" w:rsidP="00FB7D6E">
      <w:pPr>
        <w:shd w:val="clear" w:color="auto" w:fill="FFFFFF"/>
        <w:spacing w:before="300" w:after="75" w:line="345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es-US"/>
        </w:rPr>
      </w:pPr>
      <w:r w:rsidRPr="002B3754">
        <w:rPr>
          <w:rFonts w:ascii="Arial" w:eastAsia="Arial" w:hAnsi="Arial" w:cs="Arial"/>
          <w:b/>
          <w:bCs/>
          <w:caps/>
          <w:color w:val="333333"/>
          <w:sz w:val="26"/>
          <w:szCs w:val="26"/>
          <w:bdr w:val="nil"/>
          <w:lang w:val="es-US"/>
        </w:rPr>
        <w:t>CARTAS DE HALLAZGOS</w:t>
      </w:r>
    </w:p>
    <w:p w14:paraId="1CE4CA4B" w14:textId="69118319" w:rsidR="00FB7D6E" w:rsidRPr="002B3754" w:rsidRDefault="002B3754" w:rsidP="00FB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Una vez completada la investigación, SETT tomará una decisión final y emitirá una de las siguientes cartas al Reclamante </w:t>
      </w:r>
      <w:r w:rsidR="0073286C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basándose en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los resultados de la investigación:</w:t>
      </w:r>
    </w:p>
    <w:p w14:paraId="1031660E" w14:textId="62892149" w:rsidR="00FB7D6E" w:rsidRPr="002B3754" w:rsidRDefault="002B3754" w:rsidP="00FB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lastRenderedPageBreak/>
        <w:t xml:space="preserve">Una carta de hallazgos que resume las </w:t>
      </w:r>
      <w:r w:rsidR="0073286C"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alegaciones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e indica que SETT no encontró violación </w:t>
      </w:r>
      <w:r w:rsidR="0073286C"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alguna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>de las regulaciones de la ADA. Esta carta cierra el caso.</w:t>
      </w:r>
    </w:p>
    <w:p w14:paraId="5224F383" w14:textId="53203C54" w:rsidR="00FB7D6E" w:rsidRPr="002B3754" w:rsidRDefault="002B3754" w:rsidP="00FB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Una carta de hallazgos que resume las </w:t>
      </w:r>
      <w:r w:rsidR="0073286C"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alegaciones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e indica que los servicios o programas de SETT violan las regulaciones de la ADA. La carta también </w:t>
      </w:r>
      <w:r w:rsidR="0073286C"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 xml:space="preserve">incluirá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t>una breve descripción de los remedios que SETT emprenderá para lograr el cumplimiento.</w:t>
      </w:r>
    </w:p>
    <w:p w14:paraId="6E9ECCEB" w14:textId="77777777" w:rsidR="00FB7D6E" w:rsidRPr="002B3754" w:rsidRDefault="002B3754" w:rsidP="00FB7D6E">
      <w:pPr>
        <w:shd w:val="clear" w:color="auto" w:fill="FFFFFF"/>
        <w:spacing w:before="300" w:after="75" w:line="345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es-US"/>
        </w:rPr>
      </w:pPr>
      <w:r w:rsidRPr="002B3754">
        <w:rPr>
          <w:rFonts w:ascii="Arial" w:eastAsia="Arial" w:hAnsi="Arial" w:cs="Arial"/>
          <w:b/>
          <w:bCs/>
          <w:caps/>
          <w:color w:val="333333"/>
          <w:sz w:val="26"/>
          <w:szCs w:val="26"/>
          <w:bdr w:val="nil"/>
          <w:lang w:val="es-US"/>
        </w:rPr>
        <w:t>DERECHO A APELAR</w:t>
      </w:r>
    </w:p>
    <w:p w14:paraId="5D283587" w14:textId="335B0327" w:rsidR="00FB7D6E" w:rsidRPr="002B3754" w:rsidRDefault="002B3754" w:rsidP="002E0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Un Reclamante puede apelar una decisión final resultante de una investigación de ADA presentando una apelación por escrito a SETT a más tardar diez (10) días hábiles después de </w:t>
      </w:r>
      <w:r w:rsidR="00451B88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haber recibido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la carta de decisión final. La apelación debe </w:t>
      </w:r>
      <w:r w:rsidR="00451B88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estar dirigida a </w:t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D’Juana Fowler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 </w:t>
      </w:r>
      <w:r w:rsidR="00120067"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y enviarse a 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 xml:space="preserve">la siguiente dirección: </w:t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2210 Eastex Freeway, Beaumont, TX 77703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.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</w:p>
    <w:p w14:paraId="3D9893E1" w14:textId="77777777" w:rsidR="00FB7D6E" w:rsidRPr="002B3754" w:rsidRDefault="002B3754" w:rsidP="00FB7D6E">
      <w:pPr>
        <w:shd w:val="clear" w:color="auto" w:fill="FFFFFF"/>
        <w:spacing w:before="300" w:after="75" w:line="345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val="es-US"/>
        </w:rPr>
      </w:pPr>
      <w:r w:rsidRPr="002B3754">
        <w:rPr>
          <w:rFonts w:ascii="Arial" w:eastAsia="Arial" w:hAnsi="Arial" w:cs="Arial"/>
          <w:b/>
          <w:bCs/>
          <w:caps/>
          <w:color w:val="333333"/>
          <w:sz w:val="26"/>
          <w:szCs w:val="26"/>
          <w:bdr w:val="nil"/>
          <w:lang w:val="es-US"/>
        </w:rPr>
        <w:t>ADMINISTRACIÓN FEDERAL DE TRÁNSITO</w:t>
      </w:r>
    </w:p>
    <w:p w14:paraId="216DE7F2" w14:textId="158674CC" w:rsidR="00271659" w:rsidRPr="002B3754" w:rsidRDefault="002B3754" w:rsidP="00FB7D6E">
      <w:pPr>
        <w:rPr>
          <w:lang w:val="es-US"/>
        </w:rPr>
      </w:pPr>
      <w:r w:rsidRPr="002B3754">
        <w:rPr>
          <w:rFonts w:ascii="Arial" w:eastAsia="Arial" w:hAnsi="Arial" w:cs="Arial"/>
          <w:color w:val="333333"/>
          <w:sz w:val="21"/>
          <w:szCs w:val="21"/>
          <w:bdr w:val="nil"/>
          <w:shd w:val="clear" w:color="auto" w:fill="FFFFFF"/>
          <w:lang w:val="es-US"/>
        </w:rPr>
        <w:t>Una persona también puede presentar una queja directamente ante la Oficina de Derechos Civiles de la Administración Federal de Tránsito en:</w:t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  <w:r w:rsidRPr="002B3754">
        <w:rPr>
          <w:rFonts w:ascii="Arial" w:eastAsia="Arial" w:hAnsi="Arial" w:cs="Arial"/>
          <w:color w:val="333333"/>
          <w:sz w:val="21"/>
          <w:szCs w:val="21"/>
          <w:bdr w:val="nil"/>
          <w:lang w:val="es-US"/>
        </w:rPr>
        <w:br/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Federal Transit Administration (FTA)</w:t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Office of Civil Rights</w:t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East Building</w:t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1200 New Jersey Ave, SE,</w:t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lang w:val="es-US"/>
        </w:rPr>
        <w:br/>
      </w:r>
      <w:r w:rsidR="00120067" w:rsidRPr="002B37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US"/>
        </w:rPr>
        <w:t>Washington, DC 20590</w:t>
      </w:r>
      <w:bookmarkStart w:id="0" w:name="_GoBack"/>
      <w:bookmarkEnd w:id="0"/>
    </w:p>
    <w:sectPr w:rsidR="00271659" w:rsidRPr="002B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681D"/>
    <w:multiLevelType w:val="multilevel"/>
    <w:tmpl w:val="D5C68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6E"/>
    <w:rsid w:val="000A5DCB"/>
    <w:rsid w:val="000C41AA"/>
    <w:rsid w:val="000F5A96"/>
    <w:rsid w:val="00120067"/>
    <w:rsid w:val="00271659"/>
    <w:rsid w:val="002B3754"/>
    <w:rsid w:val="002E0BC7"/>
    <w:rsid w:val="002E3101"/>
    <w:rsid w:val="00360BF2"/>
    <w:rsid w:val="00451B88"/>
    <w:rsid w:val="004552E2"/>
    <w:rsid w:val="0073286C"/>
    <w:rsid w:val="007804E9"/>
    <w:rsid w:val="00807C91"/>
    <w:rsid w:val="009179F4"/>
    <w:rsid w:val="00C44EB8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2959"/>
  <w15:chartTrackingRefBased/>
  <w15:docId w15:val="{74630041-75C3-4540-B931-D4507910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D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D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5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owler@setr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D'Juana Fowler</dc:creator>
  <cp:lastModifiedBy>D'Juana Fowler</cp:lastModifiedBy>
  <cp:revision>3</cp:revision>
  <dcterms:created xsi:type="dcterms:W3CDTF">2019-08-07T18:47:00Z</dcterms:created>
  <dcterms:modified xsi:type="dcterms:W3CDTF">2019-08-15T16:20:00Z</dcterms:modified>
</cp:coreProperties>
</file>